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24413" w14:textId="77777777" w:rsidR="00C94CB1" w:rsidRDefault="00C94CB1" w:rsidP="00C94CB1">
      <w:r>
        <w:rPr>
          <w:noProof/>
        </w:rPr>
        <w:drawing>
          <wp:anchor distT="0" distB="0" distL="114300" distR="114300" simplePos="0" relativeHeight="251659264" behindDoc="0" locked="0" layoutInCell="1" allowOverlap="1" wp14:anchorId="258BAC3F" wp14:editId="7A5BADFF">
            <wp:simplePos x="0" y="0"/>
            <wp:positionH relativeFrom="column">
              <wp:posOffset>4571447</wp:posOffset>
            </wp:positionH>
            <wp:positionV relativeFrom="paragraph">
              <wp:posOffset>175826</wp:posOffset>
            </wp:positionV>
            <wp:extent cx="1221740" cy="15259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ve Hunt .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1740" cy="1525905"/>
                    </a:xfrm>
                    <a:prstGeom prst="rect">
                      <a:avLst/>
                    </a:prstGeom>
                  </pic:spPr>
                </pic:pic>
              </a:graphicData>
            </a:graphic>
            <wp14:sizeRelH relativeFrom="page">
              <wp14:pctWidth>0</wp14:pctWidth>
            </wp14:sizeRelH>
            <wp14:sizeRelV relativeFrom="page">
              <wp14:pctHeight>0</wp14:pctHeight>
            </wp14:sizeRelV>
          </wp:anchor>
        </w:drawing>
      </w:r>
    </w:p>
    <w:p w14:paraId="337A5668" w14:textId="4B1AAC3A" w:rsidR="00C94CB1" w:rsidRPr="00061C09" w:rsidRDefault="00C94CB1" w:rsidP="00C94CB1">
      <w:pPr>
        <w:jc w:val="both"/>
        <w:rPr>
          <w:rFonts w:ascii="Calibri" w:hAnsi="Calibri"/>
          <w:sz w:val="22"/>
          <w:szCs w:val="22"/>
        </w:rPr>
      </w:pPr>
      <w:r w:rsidRPr="00061C09">
        <w:rPr>
          <w:rFonts w:ascii="Calibri" w:hAnsi="Calibri"/>
          <w:sz w:val="22"/>
          <w:szCs w:val="22"/>
        </w:rPr>
        <w:t>Dave Hunt, CPP</w:t>
      </w:r>
      <w:r w:rsidRPr="00061C09">
        <w:rPr>
          <w:rFonts w:ascii="Calibri" w:hAnsi="Calibri"/>
          <w:sz w:val="22"/>
          <w:szCs w:val="22"/>
          <w:vertAlign w:val="superscript"/>
        </w:rPr>
        <w:t>®</w:t>
      </w:r>
      <w:r w:rsidRPr="00061C09">
        <w:rPr>
          <w:rFonts w:ascii="Calibri" w:hAnsi="Calibri"/>
          <w:sz w:val="22"/>
          <w:szCs w:val="22"/>
        </w:rPr>
        <w:t xml:space="preserve">, has a </w:t>
      </w:r>
      <w:r w:rsidRPr="00061C09">
        <w:rPr>
          <w:rFonts w:ascii="Calibri" w:hAnsi="Calibri"/>
          <w:sz w:val="22"/>
          <w:szCs w:val="22"/>
        </w:rPr>
        <w:t>3</w:t>
      </w:r>
      <w:r>
        <w:rPr>
          <w:rFonts w:ascii="Calibri" w:hAnsi="Calibri"/>
          <w:sz w:val="22"/>
          <w:szCs w:val="22"/>
        </w:rPr>
        <w:t>3</w:t>
      </w:r>
      <w:r w:rsidRPr="00061C09">
        <w:rPr>
          <w:rFonts w:ascii="Calibri" w:hAnsi="Calibri"/>
          <w:sz w:val="22"/>
          <w:szCs w:val="22"/>
        </w:rPr>
        <w:t>-year</w:t>
      </w:r>
      <w:r w:rsidRPr="00061C09">
        <w:rPr>
          <w:rFonts w:ascii="Calibri" w:hAnsi="Calibri"/>
          <w:sz w:val="22"/>
          <w:szCs w:val="22"/>
        </w:rPr>
        <w:t xml:space="preserve"> background in law enforcement, terrorism response, fire/arson/explosives investigation, hazardous materials response, and emergency medical response.  He has worked in every area of national preparedness in the development and delivery of nationwide assessments, all-hazards plans, training programs, national preparedness guidance. He supported development of the nationwide online assessment tools used for grant programs, including development of the nationwide terrorism threat assessment tool with the FBI.  He has conducted risk assessment and mitigation programs for major US corporations. </w:t>
      </w:r>
    </w:p>
    <w:p w14:paraId="7751B4E3" w14:textId="77777777" w:rsidR="00C94CB1" w:rsidRPr="00061C09" w:rsidRDefault="00C94CB1" w:rsidP="00C94CB1">
      <w:pPr>
        <w:jc w:val="both"/>
        <w:rPr>
          <w:rFonts w:ascii="Calibri" w:hAnsi="Calibri"/>
          <w:sz w:val="22"/>
          <w:szCs w:val="22"/>
        </w:rPr>
      </w:pPr>
    </w:p>
    <w:p w14:paraId="149551E4" w14:textId="77777777" w:rsidR="00C94CB1" w:rsidRPr="00061C09" w:rsidRDefault="00C94CB1" w:rsidP="00C94CB1">
      <w:pPr>
        <w:rPr>
          <w:rFonts w:ascii="Calibri" w:hAnsi="Calibri"/>
          <w:sz w:val="22"/>
          <w:szCs w:val="22"/>
        </w:rPr>
      </w:pPr>
      <w:r w:rsidRPr="00061C09">
        <w:rPr>
          <w:rFonts w:ascii="Calibri" w:hAnsi="Calibri"/>
          <w:color w:val="000000"/>
          <w:spacing w:val="-4"/>
          <w:sz w:val="22"/>
          <w:szCs w:val="22"/>
        </w:rPr>
        <w:t>Mr. Hunt has conducted enterprise-level corporate crisis management training and exercises for several multi-national corporations, working in the U.S. and overseas.  He has developed and delivers workplace violence prevention and intervention training programs for some of the nation’s largest corporations, including training corporate threat assessment teams.  He is experienced in business continuity planning and exercises, including corporate crisis communications and use of social media in response to emergencies.</w:t>
      </w:r>
    </w:p>
    <w:p w14:paraId="3F73612F" w14:textId="77777777" w:rsidR="00C94CB1" w:rsidRPr="00061C09" w:rsidRDefault="00C94CB1" w:rsidP="00C94CB1">
      <w:pPr>
        <w:jc w:val="both"/>
        <w:rPr>
          <w:rFonts w:ascii="Calibri" w:hAnsi="Calibri"/>
          <w:sz w:val="22"/>
          <w:szCs w:val="22"/>
        </w:rPr>
      </w:pPr>
    </w:p>
    <w:p w14:paraId="48641B3F" w14:textId="594E178B" w:rsidR="00C94CB1" w:rsidRPr="00061C09" w:rsidRDefault="00C94CB1" w:rsidP="00C94CB1">
      <w:pPr>
        <w:jc w:val="both"/>
        <w:rPr>
          <w:rFonts w:ascii="Calibri" w:hAnsi="Calibri"/>
          <w:sz w:val="22"/>
          <w:szCs w:val="22"/>
        </w:rPr>
      </w:pPr>
      <w:r>
        <w:rPr>
          <w:rFonts w:ascii="Calibri" w:hAnsi="Calibri"/>
          <w:sz w:val="22"/>
          <w:szCs w:val="22"/>
        </w:rPr>
        <w:t>Dave Hunt</w:t>
      </w:r>
      <w:r w:rsidRPr="00061C09">
        <w:rPr>
          <w:rFonts w:ascii="Calibri" w:hAnsi="Calibri"/>
          <w:sz w:val="22"/>
          <w:szCs w:val="22"/>
        </w:rPr>
        <w:t xml:space="preserve"> is a subject matter expert on workplace violence and active assailant preparedness. Over the past four years, he led the effort to develop and deliver a completely revised Active Shooter Preparedness curriculum for the DHS Office of Critical Infrastructure, addressing the needs of critical infrastructure partners in developing and implementing prevention, response and recovery capabilities. He served as a lead instructor for the program </w:t>
      </w:r>
      <w:proofErr w:type="gramStart"/>
      <w:r w:rsidRPr="00061C09">
        <w:rPr>
          <w:rFonts w:ascii="Calibri" w:hAnsi="Calibri"/>
          <w:sz w:val="22"/>
          <w:szCs w:val="22"/>
        </w:rPr>
        <w:t>and also</w:t>
      </w:r>
      <w:proofErr w:type="gramEnd"/>
      <w:r w:rsidRPr="00061C09">
        <w:rPr>
          <w:rFonts w:ascii="Calibri" w:hAnsi="Calibri"/>
          <w:sz w:val="22"/>
          <w:szCs w:val="22"/>
        </w:rPr>
        <w:t xml:space="preserve"> hosted the new DHS 96-minute video: </w:t>
      </w:r>
      <w:r w:rsidRPr="00061C09">
        <w:rPr>
          <w:rFonts w:ascii="Calibri" w:hAnsi="Calibri"/>
          <w:i/>
          <w:sz w:val="22"/>
          <w:szCs w:val="22"/>
        </w:rPr>
        <w:t>Active Shooter Preparedness Emergency Planning</w:t>
      </w:r>
      <w:r w:rsidRPr="00061C09">
        <w:rPr>
          <w:rFonts w:ascii="Calibri" w:hAnsi="Calibri"/>
          <w:sz w:val="22"/>
          <w:szCs w:val="22"/>
        </w:rPr>
        <w:t xml:space="preserve">.    He is an instructor for threat management, a certified instructor for workplace violence prevention, and was recently selected by ASIS International to serve on the Technical Committee to revise the American National Standard for Workplace Violence Prevention and Intervention and develop an Active Assailant Incident annex.  </w:t>
      </w:r>
    </w:p>
    <w:p w14:paraId="43760B31" w14:textId="77777777" w:rsidR="00C94CB1" w:rsidRPr="004E1F4E" w:rsidRDefault="00C94CB1" w:rsidP="00C94CB1">
      <w:pPr>
        <w:outlineLvl w:val="0"/>
        <w:rPr>
          <w:rFonts w:ascii="Georgia" w:hAnsi="Georgia" w:cs="DecoType Naskh"/>
          <w:sz w:val="21"/>
          <w:szCs w:val="21"/>
        </w:rPr>
      </w:pPr>
    </w:p>
    <w:p w14:paraId="65A98F85" w14:textId="77777777" w:rsidR="00C94CB1" w:rsidRDefault="00C94CB1" w:rsidP="00C94CB1">
      <w:pPr>
        <w:outlineLvl w:val="0"/>
        <w:rPr>
          <w:rFonts w:ascii="Georgia" w:hAnsi="Georgia" w:cs="DecoType Naskh"/>
          <w:b/>
          <w:sz w:val="21"/>
          <w:szCs w:val="21"/>
          <w:u w:val="single"/>
        </w:rPr>
      </w:pPr>
      <w:r>
        <w:rPr>
          <w:rFonts w:ascii="Georgia" w:hAnsi="Georgia" w:cs="DecoType Naskh"/>
          <w:b/>
          <w:sz w:val="21"/>
          <w:szCs w:val="21"/>
          <w:u w:val="single"/>
        </w:rPr>
        <w:t xml:space="preserve">Dave Hunt </w:t>
      </w:r>
      <w:r w:rsidRPr="00717A50">
        <w:rPr>
          <w:rFonts w:ascii="Georgia" w:hAnsi="Georgia" w:cs="DecoType Naskh"/>
          <w:b/>
          <w:sz w:val="21"/>
          <w:szCs w:val="21"/>
          <w:u w:val="single"/>
        </w:rPr>
        <w:t>Presentation T</w:t>
      </w:r>
      <w:r w:rsidRPr="004C3B94">
        <w:rPr>
          <w:rFonts w:ascii="Georgia" w:hAnsi="Georgia" w:cs="DecoType Naskh"/>
          <w:b/>
          <w:sz w:val="21"/>
          <w:szCs w:val="21"/>
          <w:u w:val="single"/>
        </w:rPr>
        <w:t xml:space="preserve">opics include: </w:t>
      </w:r>
    </w:p>
    <w:p w14:paraId="34F3D4A2" w14:textId="77777777" w:rsidR="00C94CB1" w:rsidRDefault="00C94CB1" w:rsidP="00C94CB1">
      <w:pPr>
        <w:outlineLvl w:val="0"/>
        <w:rPr>
          <w:rFonts w:ascii="Arial" w:eastAsia="Times New Roman" w:hAnsi="Arial" w:cs="Arial"/>
          <w:color w:val="000000"/>
          <w:sz w:val="32"/>
          <w:szCs w:val="32"/>
        </w:rPr>
      </w:pPr>
    </w:p>
    <w:p w14:paraId="0931133C" w14:textId="77777777" w:rsidR="00C94CB1" w:rsidRPr="00361C66" w:rsidRDefault="00C94CB1" w:rsidP="00C94CB1">
      <w:pPr>
        <w:numPr>
          <w:ilvl w:val="0"/>
          <w:numId w:val="1"/>
        </w:numPr>
        <w:spacing w:after="160" w:line="259" w:lineRule="auto"/>
        <w:contextualSpacing/>
        <w:rPr>
          <w:rFonts w:cstheme="minorHAnsi"/>
        </w:rPr>
      </w:pPr>
      <w:r>
        <w:rPr>
          <w:rFonts w:cstheme="minorHAnsi"/>
        </w:rPr>
        <w:t>Implementing the American National Standard on Workplace Violence Prevention and Intervention Requirements</w:t>
      </w:r>
    </w:p>
    <w:p w14:paraId="3ABBAA1B" w14:textId="77777777" w:rsidR="00C94CB1" w:rsidRDefault="00C94CB1" w:rsidP="00C94CB1">
      <w:pPr>
        <w:numPr>
          <w:ilvl w:val="0"/>
          <w:numId w:val="1"/>
        </w:numPr>
        <w:spacing w:after="160" w:line="259" w:lineRule="auto"/>
        <w:contextualSpacing/>
        <w:rPr>
          <w:rFonts w:cstheme="minorHAnsi"/>
        </w:rPr>
      </w:pPr>
      <w:r>
        <w:rPr>
          <w:rFonts w:cstheme="minorHAnsi"/>
        </w:rPr>
        <w:t>Developing Active Assailant Preparedness for Your Organization</w:t>
      </w:r>
    </w:p>
    <w:p w14:paraId="4C79A852" w14:textId="77777777" w:rsidR="00C94CB1" w:rsidRPr="00361C66" w:rsidRDefault="00C94CB1" w:rsidP="00C94CB1">
      <w:pPr>
        <w:numPr>
          <w:ilvl w:val="0"/>
          <w:numId w:val="1"/>
        </w:numPr>
        <w:spacing w:after="160" w:line="259" w:lineRule="auto"/>
        <w:contextualSpacing/>
        <w:rPr>
          <w:rFonts w:cstheme="minorHAnsi"/>
        </w:rPr>
      </w:pPr>
      <w:r w:rsidRPr="00361C66">
        <w:rPr>
          <w:rFonts w:cstheme="minorHAnsi"/>
        </w:rPr>
        <w:t xml:space="preserve">Conducting </w:t>
      </w:r>
      <w:r>
        <w:rPr>
          <w:rFonts w:cstheme="minorHAnsi"/>
        </w:rPr>
        <w:t xml:space="preserve">Organizational </w:t>
      </w:r>
      <w:r w:rsidRPr="00361C66">
        <w:rPr>
          <w:rFonts w:cstheme="minorHAnsi"/>
        </w:rPr>
        <w:t>Risk Assessments</w:t>
      </w:r>
    </w:p>
    <w:p w14:paraId="723B3BCF" w14:textId="77777777" w:rsidR="00C94CB1" w:rsidRPr="00361C66" w:rsidRDefault="00C94CB1" w:rsidP="00C94CB1">
      <w:pPr>
        <w:numPr>
          <w:ilvl w:val="0"/>
          <w:numId w:val="1"/>
        </w:numPr>
        <w:spacing w:after="160" w:line="259" w:lineRule="auto"/>
        <w:contextualSpacing/>
        <w:rPr>
          <w:rFonts w:cstheme="minorHAnsi"/>
        </w:rPr>
      </w:pPr>
      <w:r>
        <w:rPr>
          <w:rFonts w:cstheme="minorHAnsi"/>
        </w:rPr>
        <w:t>Interrupting the Pathway to Violence</w:t>
      </w:r>
    </w:p>
    <w:p w14:paraId="65727539" w14:textId="77777777" w:rsidR="00C94CB1" w:rsidRDefault="00C94CB1" w:rsidP="00C94CB1">
      <w:pPr>
        <w:numPr>
          <w:ilvl w:val="0"/>
          <w:numId w:val="1"/>
        </w:numPr>
        <w:spacing w:after="160" w:line="259" w:lineRule="auto"/>
        <w:contextualSpacing/>
        <w:rPr>
          <w:rFonts w:cstheme="minorHAnsi"/>
        </w:rPr>
      </w:pPr>
      <w:r>
        <w:rPr>
          <w:rFonts w:cstheme="minorHAnsi"/>
        </w:rPr>
        <w:t>The Increasing Threat from Domestic Partner Violence</w:t>
      </w:r>
    </w:p>
    <w:p w14:paraId="730803D0" w14:textId="77777777" w:rsidR="00C94CB1" w:rsidRDefault="00C94CB1" w:rsidP="00C94CB1">
      <w:pPr>
        <w:numPr>
          <w:ilvl w:val="0"/>
          <w:numId w:val="1"/>
        </w:numPr>
        <w:spacing w:after="160" w:line="259" w:lineRule="auto"/>
        <w:contextualSpacing/>
        <w:rPr>
          <w:rFonts w:cstheme="minorHAnsi"/>
        </w:rPr>
      </w:pPr>
      <w:r>
        <w:rPr>
          <w:rFonts w:cstheme="minorHAnsi"/>
        </w:rPr>
        <w:t>Threats to Our Nation’s Electrical Grid</w:t>
      </w:r>
    </w:p>
    <w:p w14:paraId="15874949" w14:textId="77777777" w:rsidR="00C94CB1" w:rsidRDefault="00C94CB1" w:rsidP="00C94CB1">
      <w:pPr>
        <w:numPr>
          <w:ilvl w:val="0"/>
          <w:numId w:val="1"/>
        </w:numPr>
        <w:spacing w:after="160" w:line="259" w:lineRule="auto"/>
        <w:contextualSpacing/>
        <w:rPr>
          <w:rFonts w:cstheme="minorHAnsi"/>
        </w:rPr>
      </w:pPr>
      <w:r>
        <w:rPr>
          <w:rFonts w:cstheme="minorHAnsi"/>
        </w:rPr>
        <w:t>Nuclear and Radiological Incident Preparedness</w:t>
      </w:r>
    </w:p>
    <w:p w14:paraId="02133FC7" w14:textId="5CE6662F" w:rsidR="00C94CB1" w:rsidRDefault="00C94CB1" w:rsidP="00C94CB1">
      <w:pPr>
        <w:numPr>
          <w:ilvl w:val="0"/>
          <w:numId w:val="1"/>
        </w:numPr>
        <w:spacing w:after="160" w:line="259" w:lineRule="auto"/>
        <w:contextualSpacing/>
        <w:rPr>
          <w:rFonts w:cstheme="minorHAnsi"/>
        </w:rPr>
      </w:pPr>
      <w:r>
        <w:rPr>
          <w:rFonts w:cstheme="minorHAnsi"/>
        </w:rPr>
        <w:t xml:space="preserve">Developing a </w:t>
      </w:r>
      <w:r>
        <w:rPr>
          <w:rFonts w:cstheme="minorHAnsi"/>
        </w:rPr>
        <w:t>Long-range</w:t>
      </w:r>
      <w:r>
        <w:rPr>
          <w:rFonts w:cstheme="minorHAnsi"/>
        </w:rPr>
        <w:t xml:space="preserve"> Exercise Plan </w:t>
      </w:r>
    </w:p>
    <w:p w14:paraId="378268FF" w14:textId="77777777" w:rsidR="00C94CB1" w:rsidRDefault="00C94CB1" w:rsidP="00C94CB1">
      <w:pPr>
        <w:numPr>
          <w:ilvl w:val="0"/>
          <w:numId w:val="1"/>
        </w:numPr>
        <w:spacing w:after="160" w:line="259" w:lineRule="auto"/>
        <w:contextualSpacing/>
        <w:rPr>
          <w:rFonts w:cstheme="minorHAnsi"/>
        </w:rPr>
      </w:pPr>
      <w:r>
        <w:rPr>
          <w:rFonts w:cstheme="minorHAnsi"/>
        </w:rPr>
        <w:t>Building Enterprise Crisis Management Capabilities</w:t>
      </w:r>
    </w:p>
    <w:p w14:paraId="2102BEDB" w14:textId="77777777" w:rsidR="00C94CB1" w:rsidRPr="00A91144" w:rsidRDefault="00C94CB1" w:rsidP="00C94CB1">
      <w:pPr>
        <w:numPr>
          <w:ilvl w:val="0"/>
          <w:numId w:val="1"/>
        </w:numPr>
        <w:spacing w:after="160" w:line="259" w:lineRule="auto"/>
        <w:contextualSpacing/>
        <w:rPr>
          <w:rFonts w:cstheme="minorHAnsi"/>
        </w:rPr>
      </w:pPr>
      <w:r>
        <w:rPr>
          <w:rFonts w:cstheme="minorHAnsi"/>
        </w:rPr>
        <w:t>Leveraging Social Media in Crisis Communications</w:t>
      </w:r>
    </w:p>
    <w:p w14:paraId="0160953B" w14:textId="77777777" w:rsidR="00C94CB1" w:rsidRDefault="00C94CB1" w:rsidP="00C94CB1">
      <w:bookmarkStart w:id="0" w:name="_GoBack"/>
      <w:bookmarkEnd w:id="0"/>
    </w:p>
    <w:p w14:paraId="22981F55" w14:textId="77777777" w:rsidR="00C94CB1" w:rsidRDefault="00C94CB1" w:rsidP="00C94CB1">
      <w:pPr>
        <w:rPr>
          <w:rFonts w:ascii="Georgia" w:hAnsi="Georgia" w:cs="DecoType Naskh"/>
          <w:sz w:val="21"/>
          <w:szCs w:val="21"/>
        </w:rPr>
      </w:pPr>
    </w:p>
    <w:p w14:paraId="40F6D320" w14:textId="77777777" w:rsidR="00C94CB1" w:rsidRPr="004C3B94" w:rsidRDefault="00C94CB1" w:rsidP="00C94CB1">
      <w:pPr>
        <w:rPr>
          <w:rFonts w:ascii="Georgia" w:hAnsi="Georgia" w:cs="DecoType Naskh"/>
          <w:sz w:val="21"/>
          <w:szCs w:val="21"/>
        </w:rPr>
      </w:pPr>
    </w:p>
    <w:p w14:paraId="580E44E5" w14:textId="77777777" w:rsidR="00C94CB1" w:rsidRDefault="00C94CB1" w:rsidP="00C94CB1">
      <w:pPr>
        <w:shd w:val="clear" w:color="auto" w:fill="FFFFFF"/>
        <w:rPr>
          <w:rFonts w:ascii="Georgia" w:eastAsia="Times New Roman" w:hAnsi="Georgia" w:cs="DecoType Naskh"/>
          <w:color w:val="954F72"/>
          <w:sz w:val="21"/>
          <w:szCs w:val="21"/>
          <w:u w:val="single"/>
        </w:rPr>
      </w:pPr>
      <w:r w:rsidRPr="004C3B94">
        <w:rPr>
          <w:rFonts w:ascii="Georgia" w:eastAsia="Times New Roman" w:hAnsi="Georgia" w:cs="DecoType Naskh"/>
          <w:color w:val="000000"/>
          <w:sz w:val="21"/>
          <w:szCs w:val="21"/>
        </w:rPr>
        <w:t xml:space="preserve">To </w:t>
      </w:r>
      <w:r>
        <w:rPr>
          <w:rFonts w:ascii="Georgia" w:eastAsia="Times New Roman" w:hAnsi="Georgia" w:cs="DecoType Naskh"/>
          <w:color w:val="000000"/>
          <w:sz w:val="21"/>
          <w:szCs w:val="21"/>
        </w:rPr>
        <w:t xml:space="preserve">schedule a Continuity Opportunity with one of </w:t>
      </w:r>
      <w:proofErr w:type="spellStart"/>
      <w:r>
        <w:rPr>
          <w:rFonts w:ascii="Georgia" w:eastAsia="Times New Roman" w:hAnsi="Georgia" w:cs="DecoType Naskh"/>
          <w:color w:val="000000"/>
          <w:sz w:val="21"/>
          <w:szCs w:val="21"/>
        </w:rPr>
        <w:t>KETCHConsulting’s</w:t>
      </w:r>
      <w:proofErr w:type="spellEnd"/>
      <w:r>
        <w:rPr>
          <w:rFonts w:ascii="Georgia" w:eastAsia="Times New Roman" w:hAnsi="Georgia" w:cs="DecoType Naskh"/>
          <w:color w:val="000000"/>
          <w:sz w:val="21"/>
          <w:szCs w:val="21"/>
        </w:rPr>
        <w:t xml:space="preserve"> expert facilitators</w:t>
      </w:r>
      <w:r w:rsidRPr="004C3B94">
        <w:rPr>
          <w:rFonts w:ascii="Georgia" w:eastAsia="Times New Roman" w:hAnsi="Georgia" w:cs="DecoType Naskh"/>
          <w:color w:val="000000"/>
          <w:sz w:val="21"/>
          <w:szCs w:val="21"/>
        </w:rPr>
        <w:t>, please email Deb Hall at KETCHConsulting – </w:t>
      </w:r>
      <w:hyperlink r:id="rId6" w:tgtFrame="_blank" w:history="1">
        <w:r w:rsidRPr="004C3B94">
          <w:rPr>
            <w:rFonts w:ascii="Georgia" w:eastAsia="Times New Roman" w:hAnsi="Georgia" w:cs="DecoType Naskh"/>
            <w:color w:val="954F72"/>
            <w:sz w:val="21"/>
            <w:szCs w:val="21"/>
            <w:u w:val="single"/>
          </w:rPr>
          <w:t>debhall@ketchconsulting.com</w:t>
        </w:r>
      </w:hyperlink>
      <w:r>
        <w:rPr>
          <w:rFonts w:ascii="Georgia" w:eastAsia="Times New Roman" w:hAnsi="Georgia" w:cs="DecoType Naskh"/>
          <w:color w:val="954F72"/>
          <w:sz w:val="21"/>
          <w:szCs w:val="21"/>
          <w:u w:val="single"/>
        </w:rPr>
        <w:t xml:space="preserve"> or Ted Brown </w:t>
      </w:r>
      <w:hyperlink r:id="rId7" w:history="1">
        <w:r w:rsidRPr="00CF0E18">
          <w:rPr>
            <w:rStyle w:val="Hyperlink"/>
            <w:rFonts w:ascii="Georgia" w:eastAsia="Times New Roman" w:hAnsi="Georgia" w:cs="DecoType Naskh"/>
            <w:sz w:val="21"/>
            <w:szCs w:val="21"/>
          </w:rPr>
          <w:t>tedbrown@ketchconsulting.com</w:t>
        </w:r>
      </w:hyperlink>
      <w:r>
        <w:rPr>
          <w:rFonts w:ascii="Georgia" w:eastAsia="Times New Roman" w:hAnsi="Georgia" w:cs="DecoType Naskh"/>
          <w:color w:val="954F72"/>
          <w:sz w:val="21"/>
          <w:szCs w:val="21"/>
          <w:u w:val="single"/>
        </w:rPr>
        <w:t xml:space="preserve"> 484 919 2966</w:t>
      </w:r>
    </w:p>
    <w:p w14:paraId="3675EFF7" w14:textId="77777777" w:rsidR="00C94CB1" w:rsidRDefault="00C94CB1" w:rsidP="00C94CB1">
      <w:pPr>
        <w:shd w:val="clear" w:color="auto" w:fill="FFFFFF"/>
        <w:rPr>
          <w:rFonts w:ascii="Georgia" w:eastAsia="Times New Roman" w:hAnsi="Georgia" w:cs="DecoType Naskh"/>
          <w:color w:val="000000"/>
          <w:sz w:val="21"/>
          <w:szCs w:val="21"/>
        </w:rPr>
      </w:pPr>
    </w:p>
    <w:p w14:paraId="6583AA59" w14:textId="77777777" w:rsidR="00043A4C" w:rsidRDefault="00043A4C"/>
    <w:sectPr w:rsidR="00043A4C" w:rsidSect="008F3292">
      <w:footerReference w:type="default" r:id="rId8"/>
      <w:headerReference w:type="first" r:id="rId9"/>
      <w:footerReference w:type="first" r:id="rId10"/>
      <w:pgSz w:w="12240" w:h="15840"/>
      <w:pgMar w:top="1440" w:right="1440" w:bottom="1440" w:left="1440" w:header="720" w:footer="28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coType Naskh">
    <w:charset w:val="B2"/>
    <w:family w:val="auto"/>
    <w:pitch w:val="variable"/>
    <w:sig w:usb0="8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80A52" w14:textId="77777777" w:rsidR="008F3292" w:rsidRPr="008F3292" w:rsidRDefault="00C94CB1" w:rsidP="008F3292">
    <w:pPr>
      <w:pStyle w:val="Footer"/>
      <w:jc w:val="center"/>
      <w:rPr>
        <w:rFonts w:ascii="Georgia" w:hAnsi="Georgia"/>
        <w:color w:val="2F5496" w:themeColor="accent1" w:themeShade="BF"/>
        <w:sz w:val="21"/>
        <w:szCs w:val="21"/>
      </w:rPr>
    </w:pPr>
    <w:r w:rsidRPr="008F3292">
      <w:rPr>
        <w:rFonts w:ascii="Georgia" w:hAnsi="Georgia"/>
        <w:color w:val="2F5496" w:themeColor="accent1" w:themeShade="BF"/>
        <w:sz w:val="21"/>
        <w:szCs w:val="21"/>
      </w:rPr>
      <w:t xml:space="preserve">2432 </w:t>
    </w:r>
    <w:proofErr w:type="spellStart"/>
    <w:r w:rsidRPr="008F3292">
      <w:rPr>
        <w:rFonts w:ascii="Georgia" w:hAnsi="Georgia"/>
        <w:color w:val="2F5496" w:themeColor="accent1" w:themeShade="BF"/>
        <w:sz w:val="21"/>
        <w:szCs w:val="21"/>
      </w:rPr>
      <w:t>Bernel</w:t>
    </w:r>
    <w:proofErr w:type="spellEnd"/>
    <w:r w:rsidRPr="008F3292">
      <w:rPr>
        <w:rFonts w:ascii="Georgia" w:hAnsi="Georgia"/>
        <w:color w:val="2F5496" w:themeColor="accent1" w:themeShade="BF"/>
        <w:sz w:val="21"/>
        <w:szCs w:val="21"/>
      </w:rPr>
      <w:t xml:space="preserve"> </w:t>
    </w:r>
    <w:proofErr w:type="spellStart"/>
    <w:proofErr w:type="gramStart"/>
    <w:r w:rsidRPr="008F3292">
      <w:rPr>
        <w:rFonts w:ascii="Georgia" w:hAnsi="Georgia"/>
        <w:color w:val="2F5496" w:themeColor="accent1" w:themeShade="BF"/>
        <w:sz w:val="21"/>
        <w:szCs w:val="21"/>
      </w:rPr>
      <w:t>Rd.,Suite</w:t>
    </w:r>
    <w:proofErr w:type="spellEnd"/>
    <w:proofErr w:type="gramEnd"/>
    <w:r w:rsidRPr="008F3292">
      <w:rPr>
        <w:rFonts w:ascii="Georgia" w:hAnsi="Georgia"/>
        <w:color w:val="2F5496" w:themeColor="accent1" w:themeShade="BF"/>
        <w:sz w:val="21"/>
        <w:szCs w:val="21"/>
      </w:rPr>
      <w:t xml:space="preserve"> 203, State College, Pennsylvania 16803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5F80B" w14:textId="77777777" w:rsidR="008F3292" w:rsidRPr="008F3292" w:rsidRDefault="00C94CB1" w:rsidP="008F3292">
    <w:pPr>
      <w:pStyle w:val="Footer"/>
      <w:jc w:val="center"/>
      <w:rPr>
        <w:rFonts w:ascii="Georgia" w:hAnsi="Georgia"/>
        <w:color w:val="2F5496" w:themeColor="accent1" w:themeShade="BF"/>
        <w:sz w:val="21"/>
        <w:szCs w:val="21"/>
      </w:rPr>
    </w:pPr>
    <w:r w:rsidRPr="008F3292">
      <w:rPr>
        <w:rFonts w:ascii="Georgia" w:hAnsi="Georgia"/>
        <w:color w:val="2F5496" w:themeColor="accent1" w:themeShade="BF"/>
        <w:sz w:val="21"/>
        <w:szCs w:val="21"/>
      </w:rPr>
      <w:t xml:space="preserve">2432 </w:t>
    </w:r>
    <w:proofErr w:type="spellStart"/>
    <w:r w:rsidRPr="008F3292">
      <w:rPr>
        <w:rFonts w:ascii="Georgia" w:hAnsi="Georgia"/>
        <w:color w:val="2F5496" w:themeColor="accent1" w:themeShade="BF"/>
        <w:sz w:val="21"/>
        <w:szCs w:val="21"/>
      </w:rPr>
      <w:t>Bernel</w:t>
    </w:r>
    <w:proofErr w:type="spellEnd"/>
    <w:r w:rsidRPr="008F3292">
      <w:rPr>
        <w:rFonts w:ascii="Georgia" w:hAnsi="Georgia"/>
        <w:color w:val="2F5496" w:themeColor="accent1" w:themeShade="BF"/>
        <w:sz w:val="21"/>
        <w:szCs w:val="21"/>
      </w:rPr>
      <w:t xml:space="preserve"> </w:t>
    </w:r>
    <w:proofErr w:type="spellStart"/>
    <w:proofErr w:type="gramStart"/>
    <w:r w:rsidRPr="008F3292">
      <w:rPr>
        <w:rFonts w:ascii="Georgia" w:hAnsi="Georgia"/>
        <w:color w:val="2F5496" w:themeColor="accent1" w:themeShade="BF"/>
        <w:sz w:val="21"/>
        <w:szCs w:val="21"/>
      </w:rPr>
      <w:t>Rd.,Suite</w:t>
    </w:r>
    <w:proofErr w:type="spellEnd"/>
    <w:proofErr w:type="gramEnd"/>
    <w:r w:rsidRPr="008F3292">
      <w:rPr>
        <w:rFonts w:ascii="Georgia" w:hAnsi="Georgia"/>
        <w:color w:val="2F5496" w:themeColor="accent1" w:themeShade="BF"/>
        <w:sz w:val="21"/>
        <w:szCs w:val="21"/>
      </w:rPr>
      <w:t xml:space="preserve"> 203, State College, Pennsylvania 16803</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D4814" w14:textId="77777777" w:rsidR="004C3B94" w:rsidRDefault="00C94CB1">
    <w:pPr>
      <w:pStyle w:val="Header"/>
    </w:pPr>
    <w:r>
      <w:rPr>
        <w:noProof/>
      </w:rPr>
      <w:drawing>
        <wp:anchor distT="0" distB="0" distL="114300" distR="114300" simplePos="0" relativeHeight="251659264" behindDoc="0" locked="0" layoutInCell="1" allowOverlap="1" wp14:anchorId="42E1056C" wp14:editId="4D99E5FD">
          <wp:simplePos x="0" y="0"/>
          <wp:positionH relativeFrom="column">
            <wp:posOffset>0</wp:posOffset>
          </wp:positionH>
          <wp:positionV relativeFrom="paragraph">
            <wp:posOffset>-304800</wp:posOffset>
          </wp:positionV>
          <wp:extent cx="5943600" cy="1247775"/>
          <wp:effectExtent l="0" t="0" r="0" b="0"/>
          <wp:wrapThrough wrapText="bothSides">
            <wp:wrapPolygon edited="0">
              <wp:start x="0" y="0"/>
              <wp:lineTo x="0" y="21325"/>
              <wp:lineTo x="21554" y="21325"/>
              <wp:lineTo x="215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tchConsulting_Logo_Final.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247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B4807"/>
    <w:multiLevelType w:val="hybridMultilevel"/>
    <w:tmpl w:val="D7E0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CB1"/>
    <w:rsid w:val="00043A4C"/>
    <w:rsid w:val="00C94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99168"/>
  <w15:chartTrackingRefBased/>
  <w15:docId w15:val="{DE0940FB-B47B-4BB5-9DAB-C7FA27AF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CB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CB1"/>
    <w:pPr>
      <w:tabs>
        <w:tab w:val="center" w:pos="4680"/>
        <w:tab w:val="right" w:pos="9360"/>
      </w:tabs>
    </w:pPr>
  </w:style>
  <w:style w:type="character" w:customStyle="1" w:styleId="HeaderChar">
    <w:name w:val="Header Char"/>
    <w:basedOn w:val="DefaultParagraphFont"/>
    <w:link w:val="Header"/>
    <w:uiPriority w:val="99"/>
    <w:rsid w:val="00C94CB1"/>
    <w:rPr>
      <w:sz w:val="24"/>
      <w:szCs w:val="24"/>
    </w:rPr>
  </w:style>
  <w:style w:type="paragraph" w:styleId="Footer">
    <w:name w:val="footer"/>
    <w:basedOn w:val="Normal"/>
    <w:link w:val="FooterChar"/>
    <w:uiPriority w:val="99"/>
    <w:unhideWhenUsed/>
    <w:rsid w:val="00C94CB1"/>
    <w:pPr>
      <w:tabs>
        <w:tab w:val="center" w:pos="4680"/>
        <w:tab w:val="right" w:pos="9360"/>
      </w:tabs>
    </w:pPr>
  </w:style>
  <w:style w:type="character" w:customStyle="1" w:styleId="FooterChar">
    <w:name w:val="Footer Char"/>
    <w:basedOn w:val="DefaultParagraphFont"/>
    <w:link w:val="Footer"/>
    <w:uiPriority w:val="99"/>
    <w:rsid w:val="00C94CB1"/>
    <w:rPr>
      <w:sz w:val="24"/>
      <w:szCs w:val="24"/>
    </w:rPr>
  </w:style>
  <w:style w:type="character" w:styleId="Hyperlink">
    <w:name w:val="Hyperlink"/>
    <w:basedOn w:val="DefaultParagraphFont"/>
    <w:uiPriority w:val="99"/>
    <w:unhideWhenUsed/>
    <w:rsid w:val="00C94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edbrown@ketchconsult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hall@ketchconsulting.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Hunt</dc:creator>
  <cp:keywords/>
  <dc:description/>
  <cp:lastModifiedBy>Dave Hunt</cp:lastModifiedBy>
  <cp:revision>1</cp:revision>
  <dcterms:created xsi:type="dcterms:W3CDTF">2019-07-22T15:57:00Z</dcterms:created>
  <dcterms:modified xsi:type="dcterms:W3CDTF">2019-07-22T16:01:00Z</dcterms:modified>
</cp:coreProperties>
</file>